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2A310" w14:textId="77777777"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3D1D591D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>to</w:t>
      </w:r>
      <w:r w:rsidR="00DA1260" w:rsidRPr="00DA1260">
        <w:t xml:space="preserve"> </w:t>
      </w:r>
      <w:r w:rsidR="00DA1260" w:rsidRPr="00DA1260">
        <w:rPr>
          <w:szCs w:val="24"/>
        </w:rPr>
        <w:t>remove old signage and replace with new logo, paint lower portion of building, add awni</w:t>
      </w:r>
      <w:r w:rsidR="00DA1260">
        <w:rPr>
          <w:szCs w:val="24"/>
        </w:rPr>
        <w:t xml:space="preserve">ngs and exterior light fixtures </w:t>
      </w:r>
      <w:r w:rsidR="00B969B1">
        <w:rPr>
          <w:szCs w:val="24"/>
        </w:rPr>
        <w:t xml:space="preserve">at </w:t>
      </w:r>
      <w:r w:rsidR="00DA1260" w:rsidRPr="00DA1260">
        <w:rPr>
          <w:szCs w:val="24"/>
        </w:rPr>
        <w:t>306 Brodhead Avenue (</w:t>
      </w:r>
      <w:proofErr w:type="spellStart"/>
      <w:r w:rsidR="00DA1260" w:rsidRPr="00DA1260">
        <w:rPr>
          <w:szCs w:val="24"/>
        </w:rPr>
        <w:t>Couchpota.doh</w:t>
      </w:r>
      <w:proofErr w:type="spellEnd"/>
      <w:r w:rsidR="00DA1260" w:rsidRPr="00DA1260">
        <w:rPr>
          <w:szCs w:val="24"/>
        </w:rPr>
        <w:t>!)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E313E5F" w:rsidR="00AD1372" w:rsidRDefault="00AD1372"/>
    <w:p w14:paraId="4232D17A" w14:textId="77777777" w:rsidR="00B969B1" w:rsidRDefault="00B969B1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672BDE97" w:rsidR="00C613DD" w:rsidRPr="00B969B1" w:rsidRDefault="007176D5" w:rsidP="0023717B"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E3235C">
        <w:rPr>
          <w:noProof/>
          <w:szCs w:val="24"/>
        </w:rPr>
        <w:t>9</w:t>
      </w:r>
      <w:r w:rsidR="00DA1260">
        <w:rPr>
          <w:noProof/>
          <w:szCs w:val="24"/>
        </w:rPr>
        <w:t>1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DA1260" w:rsidRPr="00DA1260">
        <w:t xml:space="preserve"> </w:t>
      </w:r>
      <w:r w:rsidR="00DA1260" w:rsidRPr="00DA1260">
        <w:rPr>
          <w:szCs w:val="24"/>
        </w:rPr>
        <w:t>remove old signage and replace with new logo, paint lower portion of building, add awnings and exterior light fixtures at 306 B</w:t>
      </w:r>
      <w:r w:rsidR="00DA1260">
        <w:rPr>
          <w:szCs w:val="24"/>
        </w:rPr>
        <w:t>rodhead Avenue (</w:t>
      </w:r>
      <w:proofErr w:type="spellStart"/>
      <w:r w:rsidR="00DA1260">
        <w:rPr>
          <w:szCs w:val="24"/>
        </w:rPr>
        <w:t>Couchpota.doh</w:t>
      </w:r>
      <w:proofErr w:type="spellEnd"/>
      <w:r w:rsidR="00DA1260">
        <w:rPr>
          <w:szCs w:val="24"/>
        </w:rPr>
        <w:t>!)</w:t>
      </w:r>
      <w:r w:rsidR="005161E7" w:rsidRPr="005161E7">
        <w:rPr>
          <w:szCs w:val="24"/>
        </w:rPr>
        <w:t>.</w:t>
      </w:r>
    </w:p>
    <w:p w14:paraId="7D002FE2" w14:textId="6F4F0F9D" w:rsidR="00DC7E0B" w:rsidRPr="00DE6FE2" w:rsidRDefault="00DC7E0B" w:rsidP="00D9160E">
      <w:pPr>
        <w:rPr>
          <w:szCs w:val="24"/>
        </w:rPr>
      </w:pPr>
    </w:p>
    <w:p w14:paraId="0B39F85A" w14:textId="789A8FBA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DA1260" w:rsidRPr="00DA1260">
        <w:rPr>
          <w:szCs w:val="24"/>
        </w:rPr>
        <w:t xml:space="preserve">Angelina M, LLC </w:t>
      </w:r>
      <w:r w:rsidR="005161E7">
        <w:rPr>
          <w:szCs w:val="24"/>
        </w:rPr>
        <w:t xml:space="preserve">/ </w:t>
      </w:r>
      <w:r w:rsidR="00DA1260" w:rsidRPr="00DA1260">
        <w:rPr>
          <w:szCs w:val="24"/>
        </w:rPr>
        <w:t xml:space="preserve">William and Marylou </w:t>
      </w:r>
      <w:proofErr w:type="spellStart"/>
      <w:r w:rsidR="00DA1260" w:rsidRPr="00DA1260">
        <w:rPr>
          <w:szCs w:val="24"/>
        </w:rPr>
        <w:t>Seixas</w:t>
      </w:r>
      <w:proofErr w:type="spellEnd"/>
    </w:p>
    <w:p w14:paraId="49F942ED" w14:textId="6F993F80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3F9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7A895AB5" w14:textId="3284C688" w:rsidR="00E43F3F" w:rsidRPr="00DD0059" w:rsidRDefault="00D9160E" w:rsidP="00E43F3F">
      <w:pPr>
        <w:rPr>
          <w:color w:val="000000" w:themeColor="text1"/>
          <w:szCs w:val="24"/>
        </w:rPr>
      </w:pPr>
      <w:r w:rsidRPr="00DD0059">
        <w:rPr>
          <w:color w:val="000000" w:themeColor="text1"/>
          <w:szCs w:val="24"/>
        </w:rPr>
        <w:t xml:space="preserve">The Commission upon motion by </w:t>
      </w:r>
      <w:r w:rsidR="00DA1260" w:rsidRPr="00DD0059">
        <w:rPr>
          <w:color w:val="000000" w:themeColor="text1"/>
          <w:szCs w:val="24"/>
        </w:rPr>
        <w:t>Mr. Evans</w:t>
      </w:r>
      <w:r w:rsidR="00926BA3" w:rsidRPr="00DD0059">
        <w:rPr>
          <w:color w:val="000000" w:themeColor="text1"/>
          <w:szCs w:val="24"/>
        </w:rPr>
        <w:t xml:space="preserve"> and seconded by M</w:t>
      </w:r>
      <w:r w:rsidR="00DA1260" w:rsidRPr="00DD0059">
        <w:rPr>
          <w:color w:val="000000" w:themeColor="text1"/>
          <w:szCs w:val="24"/>
        </w:rPr>
        <w:t>s</w:t>
      </w:r>
      <w:r w:rsidR="00926BA3" w:rsidRPr="00DD0059">
        <w:rPr>
          <w:color w:val="000000" w:themeColor="text1"/>
          <w:szCs w:val="24"/>
        </w:rPr>
        <w:t xml:space="preserve">. </w:t>
      </w:r>
      <w:r w:rsidR="00DA1260" w:rsidRPr="00DD0059">
        <w:rPr>
          <w:color w:val="000000" w:themeColor="text1"/>
          <w:szCs w:val="24"/>
        </w:rPr>
        <w:t>Starbuck</w:t>
      </w:r>
      <w:r w:rsidR="009D2602" w:rsidRPr="00DD0059">
        <w:rPr>
          <w:color w:val="000000" w:themeColor="text1"/>
          <w:szCs w:val="24"/>
        </w:rPr>
        <w:t xml:space="preserve"> </w:t>
      </w:r>
      <w:r w:rsidR="0086046C" w:rsidRPr="00DD0059">
        <w:rPr>
          <w:color w:val="000000" w:themeColor="text1"/>
          <w:szCs w:val="24"/>
        </w:rPr>
        <w:t xml:space="preserve">adopted the proposal that City Council issue a Certificate of Appropriateness for the proposed work as </w:t>
      </w:r>
      <w:r w:rsidR="00F7533C" w:rsidRPr="00DD0059">
        <w:rPr>
          <w:color w:val="000000" w:themeColor="text1"/>
          <w:szCs w:val="24"/>
        </w:rPr>
        <w:t>presented</w:t>
      </w:r>
      <w:r w:rsidR="006029A6" w:rsidRPr="00DD0059">
        <w:rPr>
          <w:color w:val="000000" w:themeColor="text1"/>
          <w:szCs w:val="24"/>
        </w:rPr>
        <w:t xml:space="preserve"> (</w:t>
      </w:r>
      <w:r w:rsidR="009979DC" w:rsidRPr="00DD0059">
        <w:rPr>
          <w:color w:val="000000" w:themeColor="text1"/>
          <w:szCs w:val="24"/>
        </w:rPr>
        <w:t>with modifications</w:t>
      </w:r>
      <w:r w:rsidR="006029A6" w:rsidRPr="00DD0059">
        <w:rPr>
          <w:color w:val="000000" w:themeColor="text1"/>
          <w:szCs w:val="24"/>
        </w:rPr>
        <w:t>)</w:t>
      </w:r>
      <w:r w:rsidR="00F7533C" w:rsidRPr="00DD0059">
        <w:rPr>
          <w:color w:val="000000" w:themeColor="text1"/>
          <w:szCs w:val="24"/>
        </w:rPr>
        <w:t xml:space="preserve"> </w:t>
      </w:r>
      <w:r w:rsidR="0086046C" w:rsidRPr="00DD0059">
        <w:rPr>
          <w:color w:val="000000" w:themeColor="text1"/>
          <w:szCs w:val="24"/>
        </w:rPr>
        <w:t>described herein</w:t>
      </w:r>
      <w:r w:rsidR="00694B1E" w:rsidRPr="00DD0059">
        <w:rPr>
          <w:color w:val="000000" w:themeColor="text1"/>
          <w:szCs w:val="24"/>
        </w:rPr>
        <w:t>:</w:t>
      </w:r>
    </w:p>
    <w:p w14:paraId="0269BF14" w14:textId="7AC5FFCA" w:rsidR="00E43F3F" w:rsidRPr="00DD0059" w:rsidRDefault="00E43F3F" w:rsidP="00E43F3F">
      <w:pPr>
        <w:rPr>
          <w:color w:val="000000" w:themeColor="text1"/>
          <w:szCs w:val="24"/>
        </w:rPr>
      </w:pPr>
    </w:p>
    <w:p w14:paraId="5FD3730E" w14:textId="5126B3E0" w:rsidR="00F61D09" w:rsidRPr="007126FD" w:rsidRDefault="00F61D09" w:rsidP="00676588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The proposal to </w:t>
      </w:r>
      <w:r w:rsidR="00DD0059" w:rsidRPr="007126FD">
        <w:rPr>
          <w:color w:val="000000" w:themeColor="text1"/>
          <w:szCs w:val="24"/>
        </w:rPr>
        <w:t xml:space="preserve">remove old signage and replace with </w:t>
      </w:r>
      <w:r w:rsidR="007126FD" w:rsidRPr="007126FD">
        <w:rPr>
          <w:color w:val="000000" w:themeColor="text1"/>
          <w:szCs w:val="24"/>
        </w:rPr>
        <w:t xml:space="preserve">a </w:t>
      </w:r>
      <w:r w:rsidR="00DD0059" w:rsidRPr="007126FD">
        <w:rPr>
          <w:color w:val="000000" w:themeColor="text1"/>
          <w:szCs w:val="24"/>
        </w:rPr>
        <w:t xml:space="preserve">new logo, paint </w:t>
      </w:r>
      <w:r w:rsidR="007126FD" w:rsidRPr="007126FD">
        <w:rPr>
          <w:color w:val="000000" w:themeColor="text1"/>
          <w:szCs w:val="24"/>
        </w:rPr>
        <w:t xml:space="preserve">the </w:t>
      </w:r>
      <w:r w:rsidR="00DD0059" w:rsidRPr="007126FD">
        <w:rPr>
          <w:color w:val="000000" w:themeColor="text1"/>
          <w:szCs w:val="24"/>
        </w:rPr>
        <w:t xml:space="preserve">lower portion of </w:t>
      </w:r>
      <w:r w:rsidR="007126FD" w:rsidRPr="007126FD">
        <w:rPr>
          <w:color w:val="000000" w:themeColor="text1"/>
          <w:szCs w:val="24"/>
        </w:rPr>
        <w:t xml:space="preserve">the </w:t>
      </w:r>
      <w:r w:rsidR="00DD0059" w:rsidRPr="007126FD">
        <w:rPr>
          <w:color w:val="000000" w:themeColor="text1"/>
          <w:szCs w:val="24"/>
        </w:rPr>
        <w:t xml:space="preserve">building, add </w:t>
      </w:r>
      <w:r w:rsidR="007126FD" w:rsidRPr="007126FD">
        <w:rPr>
          <w:color w:val="000000" w:themeColor="text1"/>
          <w:szCs w:val="24"/>
        </w:rPr>
        <w:t xml:space="preserve">new </w:t>
      </w:r>
      <w:r w:rsidR="00DD0059" w:rsidRPr="007126FD">
        <w:rPr>
          <w:color w:val="000000" w:themeColor="text1"/>
          <w:szCs w:val="24"/>
        </w:rPr>
        <w:t>awnings and exterior light fixtures w</w:t>
      </w:r>
      <w:r w:rsidR="00926BA3" w:rsidRPr="007126FD">
        <w:rPr>
          <w:color w:val="000000" w:themeColor="text1"/>
          <w:szCs w:val="24"/>
        </w:rPr>
        <w:t xml:space="preserve">as presented by </w:t>
      </w:r>
      <w:r w:rsidR="00DD0059" w:rsidRPr="007126FD">
        <w:rPr>
          <w:color w:val="000000" w:themeColor="text1"/>
          <w:szCs w:val="24"/>
        </w:rPr>
        <w:t xml:space="preserve">William and Marylou </w:t>
      </w:r>
      <w:proofErr w:type="spellStart"/>
      <w:r w:rsidR="00DD0059" w:rsidRPr="007126FD">
        <w:rPr>
          <w:color w:val="000000" w:themeColor="text1"/>
          <w:szCs w:val="24"/>
        </w:rPr>
        <w:t>Seixas</w:t>
      </w:r>
      <w:proofErr w:type="spellEnd"/>
      <w:r w:rsidRPr="007126FD">
        <w:rPr>
          <w:color w:val="000000" w:themeColor="text1"/>
          <w:szCs w:val="24"/>
        </w:rPr>
        <w:t>.</w:t>
      </w:r>
    </w:p>
    <w:p w14:paraId="0B0B7C83" w14:textId="699BCFF1" w:rsidR="00254D73" w:rsidRPr="007126FD" w:rsidRDefault="00254D73" w:rsidP="007126FD">
      <w:pPr>
        <w:pStyle w:val="ListParagraph"/>
        <w:numPr>
          <w:ilvl w:val="0"/>
          <w:numId w:val="11"/>
        </w:numPr>
        <w:spacing w:after="6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The existing internally-illuminated box sign at the east (front) façade will be removed and replaced with new signage of the company logo.  The existing box sign </w:t>
      </w:r>
      <w:r w:rsidR="004073B0">
        <w:rPr>
          <w:color w:val="000000" w:themeColor="text1"/>
          <w:szCs w:val="24"/>
        </w:rPr>
        <w:t>at</w:t>
      </w:r>
      <w:r w:rsidRPr="007126FD">
        <w:rPr>
          <w:color w:val="000000" w:themeColor="text1"/>
          <w:szCs w:val="24"/>
        </w:rPr>
        <w:t xml:space="preserve"> the north (side) façade facing West Third Street will also be removed but not replaced with new signage.  Replacement signage i</w:t>
      </w:r>
      <w:r w:rsidR="00EB1F7F" w:rsidRPr="007126FD">
        <w:rPr>
          <w:color w:val="000000" w:themeColor="text1"/>
          <w:szCs w:val="24"/>
        </w:rPr>
        <w:t>nclude</w:t>
      </w:r>
      <w:r w:rsidRPr="007126FD">
        <w:rPr>
          <w:color w:val="000000" w:themeColor="text1"/>
          <w:szCs w:val="24"/>
        </w:rPr>
        <w:t>s:</w:t>
      </w:r>
    </w:p>
    <w:p w14:paraId="31ABBACA" w14:textId="60CF244D" w:rsidR="00254D73" w:rsidRPr="007126FD" w:rsidRDefault="00254D73" w:rsidP="007126FD">
      <w:pPr>
        <w:pStyle w:val="ListParagraph"/>
        <w:numPr>
          <w:ilvl w:val="1"/>
          <w:numId w:val="11"/>
        </w:numPr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company logo “</w:t>
      </w:r>
      <w:proofErr w:type="spellStart"/>
      <w:r w:rsidRPr="007126FD">
        <w:rPr>
          <w:color w:val="000000" w:themeColor="text1"/>
          <w:szCs w:val="24"/>
        </w:rPr>
        <w:t>Couchpota.doh</w:t>
      </w:r>
      <w:proofErr w:type="spellEnd"/>
      <w:r w:rsidRPr="007126FD">
        <w:rPr>
          <w:color w:val="000000" w:themeColor="text1"/>
          <w:szCs w:val="24"/>
        </w:rPr>
        <w:t>!” composed of individual, stylized, serif lettering in reverse-lit channel letters; second letter “O” is internally-illuminated and in shape of potato in medium brown color</w:t>
      </w:r>
    </w:p>
    <w:p w14:paraId="05B0950A" w14:textId="6350B0AE" w:rsidR="003D07C2" w:rsidRPr="007126FD" w:rsidRDefault="003D07C2" w:rsidP="00676588">
      <w:pPr>
        <w:pStyle w:val="ListParagraph"/>
        <w:numPr>
          <w:ilvl w:val="1"/>
          <w:numId w:val="11"/>
        </w:numPr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logo also includes word “kitchen” in stylized lower case letters positioned below main signage and installed justified right; lettering is black in color  </w:t>
      </w:r>
    </w:p>
    <w:p w14:paraId="1CF9657E" w14:textId="76EE5211" w:rsidR="003D07C2" w:rsidRPr="007126FD" w:rsidRDefault="003D07C2" w:rsidP="00676588">
      <w:pPr>
        <w:pStyle w:val="ListParagraph"/>
        <w:numPr>
          <w:ilvl w:val="1"/>
          <w:numId w:val="11"/>
        </w:numPr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overall logo to be centered horizontally </w:t>
      </w:r>
      <w:r w:rsidR="00254D73" w:rsidRPr="007126FD">
        <w:rPr>
          <w:color w:val="000000" w:themeColor="text1"/>
          <w:szCs w:val="24"/>
        </w:rPr>
        <w:t>within existing sig</w:t>
      </w:r>
      <w:r w:rsidRPr="007126FD">
        <w:rPr>
          <w:color w:val="000000" w:themeColor="text1"/>
          <w:szCs w:val="24"/>
        </w:rPr>
        <w:t xml:space="preserve">n band above lower cornice; size of </w:t>
      </w:r>
      <w:r w:rsidR="00254D73" w:rsidRPr="007126FD">
        <w:rPr>
          <w:color w:val="000000" w:themeColor="text1"/>
          <w:szCs w:val="24"/>
        </w:rPr>
        <w:t xml:space="preserve">initial “C” </w:t>
      </w:r>
      <w:r w:rsidRPr="007126FD">
        <w:rPr>
          <w:color w:val="000000" w:themeColor="text1"/>
          <w:szCs w:val="24"/>
        </w:rPr>
        <w:t>in logo must allow min</w:t>
      </w:r>
      <w:r w:rsidR="004073B0">
        <w:rPr>
          <w:color w:val="000000" w:themeColor="text1"/>
          <w:szCs w:val="24"/>
        </w:rPr>
        <w:t>imum</w:t>
      </w:r>
      <w:r w:rsidRPr="007126FD">
        <w:rPr>
          <w:color w:val="000000" w:themeColor="text1"/>
          <w:szCs w:val="24"/>
        </w:rPr>
        <w:t xml:space="preserve"> 2</w:t>
      </w:r>
      <w:r w:rsidR="007126FD" w:rsidRPr="007126FD">
        <w:rPr>
          <w:color w:val="000000" w:themeColor="text1"/>
          <w:szCs w:val="24"/>
        </w:rPr>
        <w:t xml:space="preserve"> inches</w:t>
      </w:r>
      <w:r w:rsidRPr="007126FD">
        <w:rPr>
          <w:color w:val="000000" w:themeColor="text1"/>
          <w:szCs w:val="24"/>
        </w:rPr>
        <w:t xml:space="preserve"> above bottom of sign board and min</w:t>
      </w:r>
      <w:r w:rsidR="004073B0">
        <w:rPr>
          <w:color w:val="000000" w:themeColor="text1"/>
          <w:szCs w:val="24"/>
        </w:rPr>
        <w:t>imum</w:t>
      </w:r>
      <w:r w:rsidRPr="007126FD">
        <w:rPr>
          <w:color w:val="000000" w:themeColor="text1"/>
          <w:szCs w:val="24"/>
        </w:rPr>
        <w:t xml:space="preserve"> 2</w:t>
      </w:r>
      <w:r w:rsidR="007126FD" w:rsidRPr="007126FD">
        <w:rPr>
          <w:color w:val="000000" w:themeColor="text1"/>
          <w:szCs w:val="24"/>
        </w:rPr>
        <w:t xml:space="preserve"> inches</w:t>
      </w:r>
      <w:r w:rsidRPr="007126FD">
        <w:rPr>
          <w:color w:val="000000" w:themeColor="text1"/>
          <w:szCs w:val="24"/>
        </w:rPr>
        <w:t xml:space="preserve"> below top of sign board upon installation</w:t>
      </w:r>
    </w:p>
    <w:p w14:paraId="36A1A6EB" w14:textId="00E71F64" w:rsidR="003D07C2" w:rsidRPr="007126FD" w:rsidRDefault="003D07C2" w:rsidP="00676588">
      <w:pPr>
        <w:pStyle w:val="ListParagraph"/>
        <w:numPr>
          <w:ilvl w:val="1"/>
          <w:numId w:val="11"/>
        </w:numPr>
        <w:spacing w:after="120"/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3</w:t>
      </w:r>
      <w:r w:rsidR="007126FD" w:rsidRPr="007126FD">
        <w:rPr>
          <w:color w:val="000000" w:themeColor="text1"/>
          <w:szCs w:val="24"/>
        </w:rPr>
        <w:t xml:space="preserve">-inch </w:t>
      </w:r>
      <w:r w:rsidRPr="007126FD">
        <w:rPr>
          <w:color w:val="000000" w:themeColor="text1"/>
          <w:szCs w:val="24"/>
        </w:rPr>
        <w:t>deep channel letters will be pin-mounted into existing masonry wall of signboard, with 2</w:t>
      </w:r>
      <w:r w:rsidR="007126FD" w:rsidRPr="007126FD">
        <w:rPr>
          <w:color w:val="000000" w:themeColor="text1"/>
          <w:szCs w:val="24"/>
        </w:rPr>
        <w:t>-inch</w:t>
      </w:r>
      <w:r w:rsidRPr="007126FD">
        <w:rPr>
          <w:color w:val="000000" w:themeColor="text1"/>
          <w:szCs w:val="24"/>
        </w:rPr>
        <w:t xml:space="preserve"> space between wall and letters; illumination of reverse-lit letters will be amber in color</w:t>
      </w:r>
    </w:p>
    <w:p w14:paraId="07810302" w14:textId="6B3C5855" w:rsidR="00676588" w:rsidRPr="007126FD" w:rsidRDefault="00676588" w:rsidP="00EB1F7F">
      <w:pPr>
        <w:pStyle w:val="ListParagraph"/>
        <w:numPr>
          <w:ilvl w:val="0"/>
          <w:numId w:val="11"/>
        </w:numPr>
        <w:spacing w:after="6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Approved exterior paint scheme include</w:t>
      </w:r>
      <w:r w:rsidR="00EB1F7F" w:rsidRPr="007126FD">
        <w:rPr>
          <w:color w:val="000000" w:themeColor="text1"/>
          <w:szCs w:val="24"/>
        </w:rPr>
        <w:t>s</w:t>
      </w:r>
      <w:r w:rsidRPr="007126FD">
        <w:rPr>
          <w:color w:val="000000" w:themeColor="text1"/>
          <w:szCs w:val="24"/>
        </w:rPr>
        <w:t>:</w:t>
      </w:r>
    </w:p>
    <w:p w14:paraId="12C3727E" w14:textId="089B0E9C" w:rsidR="00676588" w:rsidRPr="007126FD" w:rsidRDefault="00676588" w:rsidP="00EB1F7F">
      <w:pPr>
        <w:pStyle w:val="ListParagraph"/>
        <w:numPr>
          <w:ilvl w:val="1"/>
          <w:numId w:val="11"/>
        </w:numPr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metal trim at existing storefront windows and recessed entrance doors </w:t>
      </w:r>
      <w:r w:rsidR="00254D73" w:rsidRPr="007126FD">
        <w:rPr>
          <w:color w:val="000000" w:themeColor="text1"/>
          <w:szCs w:val="24"/>
        </w:rPr>
        <w:t xml:space="preserve">to </w:t>
      </w:r>
      <w:r w:rsidRPr="007126FD">
        <w:rPr>
          <w:color w:val="000000" w:themeColor="text1"/>
          <w:szCs w:val="24"/>
        </w:rPr>
        <w:t xml:space="preserve">be </w:t>
      </w:r>
      <w:r w:rsidR="00254D73" w:rsidRPr="007126FD">
        <w:rPr>
          <w:color w:val="000000" w:themeColor="text1"/>
          <w:szCs w:val="24"/>
        </w:rPr>
        <w:t>“</w:t>
      </w:r>
      <w:r w:rsidRPr="007126FD">
        <w:rPr>
          <w:color w:val="000000" w:themeColor="text1"/>
          <w:szCs w:val="24"/>
        </w:rPr>
        <w:t xml:space="preserve">satin </w:t>
      </w:r>
      <w:r w:rsidR="00254D73" w:rsidRPr="007126FD">
        <w:rPr>
          <w:color w:val="000000" w:themeColor="text1"/>
          <w:szCs w:val="24"/>
        </w:rPr>
        <w:t>black”</w:t>
      </w:r>
      <w:r w:rsidRPr="007126FD">
        <w:rPr>
          <w:color w:val="000000" w:themeColor="text1"/>
          <w:szCs w:val="24"/>
        </w:rPr>
        <w:t>; provided color sample: Behr ‘Broadway PPU18-20</w:t>
      </w:r>
      <w:r w:rsidR="004073B0">
        <w:rPr>
          <w:color w:val="000000" w:themeColor="text1"/>
          <w:szCs w:val="24"/>
        </w:rPr>
        <w:t>’</w:t>
      </w:r>
    </w:p>
    <w:p w14:paraId="5E88D66D" w14:textId="6ED2B73A" w:rsidR="00EB1F7F" w:rsidRPr="007126FD" w:rsidRDefault="00EB1F7F" w:rsidP="00EB1F7F">
      <w:pPr>
        <w:pStyle w:val="ListParagraph"/>
        <w:numPr>
          <w:ilvl w:val="1"/>
          <w:numId w:val="11"/>
        </w:numPr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cornice molding below existing sign band</w:t>
      </w:r>
      <w:r w:rsidR="00676588" w:rsidRPr="007126FD">
        <w:rPr>
          <w:color w:val="000000" w:themeColor="text1"/>
          <w:szCs w:val="24"/>
        </w:rPr>
        <w:t xml:space="preserve"> </w:t>
      </w:r>
      <w:r w:rsidRPr="007126FD">
        <w:rPr>
          <w:color w:val="000000" w:themeColor="text1"/>
          <w:szCs w:val="24"/>
        </w:rPr>
        <w:t xml:space="preserve">and horizontal ribbon courses at </w:t>
      </w:r>
      <w:proofErr w:type="gramStart"/>
      <w:r w:rsidRPr="007126FD">
        <w:rPr>
          <w:color w:val="000000" w:themeColor="text1"/>
          <w:szCs w:val="24"/>
        </w:rPr>
        <w:t>window sills</w:t>
      </w:r>
      <w:proofErr w:type="gramEnd"/>
      <w:r w:rsidRPr="007126FD">
        <w:rPr>
          <w:color w:val="000000" w:themeColor="text1"/>
          <w:szCs w:val="24"/>
        </w:rPr>
        <w:t xml:space="preserve"> of second floor level to be “satin black”; provided color sample: Behr ‘Broadway PPU18-20</w:t>
      </w:r>
      <w:r w:rsidR="004073B0">
        <w:rPr>
          <w:color w:val="000000" w:themeColor="text1"/>
          <w:szCs w:val="24"/>
        </w:rPr>
        <w:t>’</w:t>
      </w:r>
    </w:p>
    <w:p w14:paraId="14362C59" w14:textId="63F65A37" w:rsidR="00676588" w:rsidRPr="007126FD" w:rsidRDefault="00676588" w:rsidP="00EB1F7F">
      <w:pPr>
        <w:pStyle w:val="ListParagraph"/>
        <w:numPr>
          <w:ilvl w:val="1"/>
          <w:numId w:val="11"/>
        </w:numPr>
        <w:spacing w:after="120"/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existing front building façade </w:t>
      </w:r>
      <w:r w:rsidR="00EB1F7F" w:rsidRPr="007126FD">
        <w:rPr>
          <w:color w:val="000000" w:themeColor="text1"/>
          <w:szCs w:val="24"/>
        </w:rPr>
        <w:t xml:space="preserve">at entry level </w:t>
      </w:r>
      <w:r w:rsidRPr="007126FD">
        <w:rPr>
          <w:color w:val="000000" w:themeColor="text1"/>
          <w:szCs w:val="24"/>
        </w:rPr>
        <w:t>(including sign board</w:t>
      </w:r>
      <w:r w:rsidR="00EB1F7F" w:rsidRPr="007126FD">
        <w:rPr>
          <w:color w:val="000000" w:themeColor="text1"/>
          <w:szCs w:val="24"/>
        </w:rPr>
        <w:t xml:space="preserve">) </w:t>
      </w:r>
      <w:r w:rsidRPr="007126FD">
        <w:rPr>
          <w:color w:val="000000" w:themeColor="text1"/>
          <w:szCs w:val="24"/>
        </w:rPr>
        <w:t>to be “light stone white”; provided color sample: Behr ‘</w:t>
      </w:r>
      <w:r w:rsidR="00EB1F7F" w:rsidRPr="007126FD">
        <w:rPr>
          <w:color w:val="000000" w:themeColor="text1"/>
          <w:szCs w:val="24"/>
        </w:rPr>
        <w:t>Delicate Lace PPU5-11</w:t>
      </w:r>
      <w:r w:rsidR="004073B0">
        <w:rPr>
          <w:color w:val="000000" w:themeColor="text1"/>
          <w:szCs w:val="24"/>
        </w:rPr>
        <w:t>’</w:t>
      </w:r>
    </w:p>
    <w:p w14:paraId="0E05D389" w14:textId="09DF3BB7" w:rsidR="00EB1F7F" w:rsidRPr="007126FD" w:rsidRDefault="00EB1F7F" w:rsidP="00EB1F7F">
      <w:pPr>
        <w:pStyle w:val="ListParagraph"/>
        <w:numPr>
          <w:ilvl w:val="0"/>
          <w:numId w:val="11"/>
        </w:numPr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Details of approved new awnings at both entry-level storefront windows at the east (front) façade include:</w:t>
      </w:r>
    </w:p>
    <w:p w14:paraId="1E942EBC" w14:textId="59E74C34" w:rsidR="00D74709" w:rsidRPr="007126FD" w:rsidRDefault="00EB1F7F" w:rsidP="00D74709">
      <w:pPr>
        <w:pStyle w:val="ListParagraph"/>
        <w:numPr>
          <w:ilvl w:val="1"/>
          <w:numId w:val="11"/>
        </w:numPr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Sunbrella (or comparable) fire-re</w:t>
      </w:r>
      <w:r w:rsidR="00D74709" w:rsidRPr="007126FD">
        <w:rPr>
          <w:color w:val="000000" w:themeColor="text1"/>
          <w:szCs w:val="24"/>
        </w:rPr>
        <w:t xml:space="preserve">tardant </w:t>
      </w:r>
      <w:r w:rsidRPr="007126FD">
        <w:rPr>
          <w:color w:val="000000" w:themeColor="text1"/>
          <w:szCs w:val="24"/>
        </w:rPr>
        <w:t>canvas awning</w:t>
      </w:r>
      <w:r w:rsidR="007126FD" w:rsidRPr="007126FD">
        <w:rPr>
          <w:color w:val="000000" w:themeColor="text1"/>
          <w:szCs w:val="24"/>
        </w:rPr>
        <w:t>s</w:t>
      </w:r>
      <w:r w:rsidRPr="007126FD">
        <w:rPr>
          <w:color w:val="000000" w:themeColor="text1"/>
          <w:szCs w:val="24"/>
        </w:rPr>
        <w:t xml:space="preserve"> in black color; color is solid with no applied designs or advertisements</w:t>
      </w:r>
    </w:p>
    <w:p w14:paraId="3BEC7899" w14:textId="33AF28E4" w:rsidR="00D74709" w:rsidRPr="007126FD" w:rsidRDefault="00D74709" w:rsidP="00D74709">
      <w:pPr>
        <w:pStyle w:val="ListParagraph"/>
        <w:numPr>
          <w:ilvl w:val="1"/>
          <w:numId w:val="11"/>
        </w:numPr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new awnings must fit within existing storefront openings</w:t>
      </w:r>
    </w:p>
    <w:p w14:paraId="6DCFBB6C" w14:textId="0CB5280E" w:rsidR="00EB1F7F" w:rsidRPr="007126FD" w:rsidRDefault="00EB1F7F" w:rsidP="00D74709">
      <w:pPr>
        <w:pStyle w:val="ListParagraph"/>
        <w:numPr>
          <w:ilvl w:val="1"/>
          <w:numId w:val="11"/>
        </w:numPr>
        <w:spacing w:after="120"/>
        <w:ind w:left="108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lastRenderedPageBreak/>
        <w:t>front flap valance</w:t>
      </w:r>
      <w:r w:rsidR="00D74709" w:rsidRPr="007126FD">
        <w:rPr>
          <w:color w:val="000000" w:themeColor="text1"/>
          <w:szCs w:val="24"/>
        </w:rPr>
        <w:t xml:space="preserve">s are max. 6 inches high; </w:t>
      </w:r>
      <w:r w:rsidRPr="007126FD">
        <w:rPr>
          <w:color w:val="000000" w:themeColor="text1"/>
          <w:szCs w:val="24"/>
        </w:rPr>
        <w:t>end gable</w:t>
      </w:r>
      <w:r w:rsidR="00D74709" w:rsidRPr="007126FD">
        <w:rPr>
          <w:color w:val="000000" w:themeColor="text1"/>
          <w:szCs w:val="24"/>
        </w:rPr>
        <w:t>s are open with no</w:t>
      </w:r>
      <w:r w:rsidRPr="007126FD">
        <w:rPr>
          <w:color w:val="000000" w:themeColor="text1"/>
          <w:szCs w:val="24"/>
        </w:rPr>
        <w:t xml:space="preserve"> awning fabric</w:t>
      </w:r>
    </w:p>
    <w:p w14:paraId="2D86E49B" w14:textId="1B348B62" w:rsidR="00254D73" w:rsidRPr="007126FD" w:rsidRDefault="00D74709" w:rsidP="00D74709">
      <w:pPr>
        <w:pStyle w:val="ListParagraph"/>
        <w:numPr>
          <w:ilvl w:val="0"/>
          <w:numId w:val="11"/>
        </w:numPr>
        <w:spacing w:after="12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The </w:t>
      </w:r>
      <w:r w:rsidR="00254D73" w:rsidRPr="007126FD">
        <w:rPr>
          <w:color w:val="000000" w:themeColor="text1"/>
          <w:szCs w:val="24"/>
        </w:rPr>
        <w:t>Applica</w:t>
      </w:r>
      <w:r w:rsidRPr="007126FD">
        <w:rPr>
          <w:color w:val="000000" w:themeColor="text1"/>
          <w:szCs w:val="24"/>
        </w:rPr>
        <w:t>nt agreed to return to HCC for subsequent reviews of such items as exterior lighting, secondary signage (hours of operation, company website, telephone number, etc.), additional for storefront windows and/or awnings, renovations to the north (side) façade, etc.</w:t>
      </w:r>
    </w:p>
    <w:p w14:paraId="789EFF62" w14:textId="6001F658" w:rsidR="00E43F3F" w:rsidRPr="007126FD" w:rsidRDefault="000F29AC" w:rsidP="00B969B1">
      <w:pPr>
        <w:pStyle w:val="ListParagraph"/>
        <w:numPr>
          <w:ilvl w:val="0"/>
          <w:numId w:val="11"/>
        </w:numPr>
        <w:spacing w:after="6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>The</w:t>
      </w:r>
      <w:r w:rsidR="00A6257E" w:rsidRPr="007126FD">
        <w:rPr>
          <w:color w:val="000000" w:themeColor="text1"/>
          <w:szCs w:val="24"/>
        </w:rPr>
        <w:t xml:space="preserve"> motion for the proposed </w:t>
      </w:r>
      <w:r w:rsidRPr="007126FD">
        <w:rPr>
          <w:color w:val="000000" w:themeColor="text1"/>
          <w:szCs w:val="24"/>
        </w:rPr>
        <w:t xml:space="preserve">work was </w:t>
      </w:r>
      <w:r w:rsidR="00DD0059" w:rsidRPr="007126FD">
        <w:rPr>
          <w:color w:val="000000" w:themeColor="text1"/>
          <w:szCs w:val="24"/>
        </w:rPr>
        <w:t xml:space="preserve">unanimously </w:t>
      </w:r>
      <w:r w:rsidR="00926BA3" w:rsidRPr="007126FD">
        <w:rPr>
          <w:color w:val="000000" w:themeColor="text1"/>
          <w:szCs w:val="24"/>
        </w:rPr>
        <w:t>approved</w:t>
      </w:r>
      <w:r w:rsidRPr="007126FD">
        <w:rPr>
          <w:color w:val="000000" w:themeColor="text1"/>
          <w:szCs w:val="24"/>
        </w:rPr>
        <w:t>.</w:t>
      </w:r>
    </w:p>
    <w:p w14:paraId="06B83DD4" w14:textId="1A356B83" w:rsidR="00D9160E" w:rsidRPr="007126FD" w:rsidRDefault="00D9160E" w:rsidP="00D9160E">
      <w:pPr>
        <w:ind w:left="720"/>
        <w:rPr>
          <w:color w:val="000000" w:themeColor="text1"/>
          <w:szCs w:val="24"/>
        </w:rPr>
      </w:pPr>
    </w:p>
    <w:p w14:paraId="65289ECB" w14:textId="0A153DE9" w:rsidR="00D9160E" w:rsidRPr="007126FD" w:rsidRDefault="007176D5" w:rsidP="00D9160E">
      <w:pPr>
        <w:ind w:left="360"/>
        <w:rPr>
          <w:color w:val="000000" w:themeColor="text1"/>
          <w:szCs w:val="24"/>
        </w:rPr>
      </w:pPr>
      <w:r w:rsidRPr="007126FD">
        <w:rPr>
          <w:color w:val="000000" w:themeColor="text1"/>
          <w:szCs w:val="24"/>
        </w:rPr>
        <w:t xml:space="preserve">JBL: </w:t>
      </w:r>
      <w:proofErr w:type="spellStart"/>
      <w:r w:rsidRPr="007126FD">
        <w:rPr>
          <w:color w:val="000000" w:themeColor="text1"/>
          <w:szCs w:val="24"/>
        </w:rPr>
        <w:t>jbl</w:t>
      </w:r>
      <w:proofErr w:type="spellEnd"/>
    </w:p>
    <w:p w14:paraId="6260B519" w14:textId="2F78B98A" w:rsidR="00D9160E" w:rsidRPr="00D9160E" w:rsidRDefault="00D74709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6704" behindDoc="1" locked="0" layoutInCell="1" allowOverlap="1" wp14:anchorId="4E9B33D1" wp14:editId="47B8D865">
            <wp:simplePos x="0" y="0"/>
            <wp:positionH relativeFrom="column">
              <wp:posOffset>3869690</wp:posOffset>
            </wp:positionH>
            <wp:positionV relativeFrom="page">
              <wp:posOffset>2728595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BED7F" wp14:editId="0C066FC4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DDB2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76A5DEEB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6F840AF4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3D7081C3" w:rsidR="00D9160E" w:rsidRPr="00D9160E" w:rsidRDefault="00D9160E" w:rsidP="00D9160E">
      <w:pPr>
        <w:rPr>
          <w:szCs w:val="24"/>
        </w:rPr>
      </w:pPr>
    </w:p>
    <w:p w14:paraId="6DD49605" w14:textId="7D9A9CA7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5-2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DA1260">
            <w:rPr>
              <w:szCs w:val="24"/>
              <w:u w:val="single"/>
            </w:rPr>
            <w:t>May 20,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4D73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07C2"/>
    <w:rsid w:val="003D1041"/>
    <w:rsid w:val="003D3268"/>
    <w:rsid w:val="003D3DA8"/>
    <w:rsid w:val="003E0099"/>
    <w:rsid w:val="003E42C7"/>
    <w:rsid w:val="0040678C"/>
    <w:rsid w:val="004073B0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6588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26FD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8A6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709"/>
    <w:rsid w:val="00D74F3D"/>
    <w:rsid w:val="00D87B81"/>
    <w:rsid w:val="00D9160E"/>
    <w:rsid w:val="00D94B31"/>
    <w:rsid w:val="00D9552B"/>
    <w:rsid w:val="00D955B7"/>
    <w:rsid w:val="00D97617"/>
    <w:rsid w:val="00DA1260"/>
    <w:rsid w:val="00DA1D77"/>
    <w:rsid w:val="00DB79FB"/>
    <w:rsid w:val="00DC796A"/>
    <w:rsid w:val="00DC7E0B"/>
    <w:rsid w:val="00DD0059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1F7F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22529"/>
    <o:shapelayout v:ext="edit">
      <o:idmap v:ext="edit" data="1"/>
    </o:shapelayout>
  </w:shapeDefaults>
  <w:decimalSymbol w:val="."/>
  <w:listSeparator w:val=","/>
  <w14:docId w14:val="7BE435A4"/>
  <w15:docId w15:val="{168F6EC1-8A95-4B33-A59D-BC61CF17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Jeffrey Long</cp:lastModifiedBy>
  <cp:revision>77</cp:revision>
  <cp:lastPrinted>2018-12-26T19:25:00Z</cp:lastPrinted>
  <dcterms:created xsi:type="dcterms:W3CDTF">2018-02-01T14:51:00Z</dcterms:created>
  <dcterms:modified xsi:type="dcterms:W3CDTF">2019-05-30T12:38:00Z</dcterms:modified>
</cp:coreProperties>
</file>